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Taşınmaz Alım Satımına Aracılık Sözleşmesi</w:t>
      </w:r>
    </w:p>
    <w:p>
      <w:pPr>
        <w:pStyle w:val="Subtitle"/>
      </w:pPr>
      <w:r>
        <w:t>Düzenlenebilir Örnek Form</w:t>
      </w:r>
    </w:p>
    <w:p>
      <w:r>
        <w:t>Bu örnek, aracılık hizmetine ilişkin mutabakatın düzenlenmesine yardımcı olur. Taşınmaz mülkiyetini devreden resmî satış işlemi veya noterlikçe düzenlenen satış vaadi yerine kullanılamaz. Tapu ve ödeme işlemleri ilgili resmî süreçte yürütülür.</w:t>
      </w:r>
    </w:p>
    <w:p>
      <w:pPr>
        <w:pStyle w:val="Heading1"/>
      </w:pPr>
      <w:r>
        <w:t>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Satıcı veya İş Sahibi Adı ve Kimlik Bilgisi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Alıcı Adı ve Kimlik Bilgisi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Aracı İşletme ve Yetki Belgesi No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Tarafların Adres ve İletişim Bilgileri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İşlem ve Koşullar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Taşınmaz Adresi ve Tapu Tanımları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Görüşülen Satış Bedeli ve Para Birimi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Ödeme Planı ve Finansman Koşulları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Tapu İşlemi ve Teslim İçin Hedef Tarih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Takyidat İncelemesi ve Ek Belgeler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Aracılık Mutabakatı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Hizmet Kapsamı ve Sözleşme Süresi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Hizmet Bedeli KDV ve Ödeme Zamanı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Masraflar ve Tarafların Yükümlülükleri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Fesih Bildirim ve Özel Koşullar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r>
        <w:t>Tarih  [Doldurunuz]      İş Sahibi veya Ziyaretçi İmzası  [İmza]      İşletme İmzası  [İmza]</w:t>
      </w:r>
    </w:p>
    <w:p>
      <w:pPr>
        <w:pStyle w:val="Heading1"/>
      </w:pPr>
      <w:r>
        <w:t>Kullanım Notu</w:t>
      </w:r>
    </w:p>
    <w:p>
      <w:r>
        <w:t>Bu belge genel bir taslaktır. Kullanımdan önce taraf bilgileri, yetki, hizmet bedeli, vergi ve somut işlem koşulları güncel mevzuata göre kontrol edilmelidir. Özel koşullar ve ekler ayrıca düzenlenebilir.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Emlak Timi  |  emlaktimi.com  |  İlanınızı Paylaşın, Yeni Fırsatlara Ulaşın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16000" cy="22444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mlaktimi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000" cy="224440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Emlak Timi Belge Merkezi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bCs/>
      <w:color w:val="102C4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Taşınmaz Alım Satımına Aracılık Sözleşmesi</dc:title>
  <dc:subject/>
  <dc:creator>Emlak Timi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